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6A" w:rsidRDefault="00497C6A" w:rsidP="00497C6A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Ministero della Pubblica Istruzione</w:t>
      </w:r>
    </w:p>
    <w:p w:rsidR="00497C6A" w:rsidRDefault="00497C6A" w:rsidP="00497C6A">
      <w:pPr>
        <w:pStyle w:val="Default"/>
        <w:jc w:val="center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U.S.R.</w:t>
      </w:r>
      <w:proofErr w:type="spellEnd"/>
      <w:r>
        <w:rPr>
          <w:i/>
          <w:iCs/>
          <w:sz w:val="20"/>
          <w:szCs w:val="20"/>
        </w:rPr>
        <w:t xml:space="preserve"> CAMPANIA - </w:t>
      </w:r>
      <w:proofErr w:type="spellStart"/>
      <w:r>
        <w:rPr>
          <w:i/>
          <w:iCs/>
          <w:sz w:val="20"/>
          <w:szCs w:val="20"/>
        </w:rPr>
        <w:t>U.S.P.</w:t>
      </w:r>
      <w:proofErr w:type="spellEnd"/>
      <w:r>
        <w:rPr>
          <w:i/>
          <w:iCs/>
          <w:sz w:val="20"/>
          <w:szCs w:val="20"/>
        </w:rPr>
        <w:t xml:space="preserve"> SALERNO - DISTRETTO SCOLASTICO 58-</w:t>
      </w:r>
    </w:p>
    <w:p w:rsidR="00497C6A" w:rsidRDefault="00497C6A" w:rsidP="00497C6A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57785</wp:posOffset>
            </wp:positionV>
            <wp:extent cx="589280" cy="654685"/>
            <wp:effectExtent l="19050" t="0" r="1270" b="0"/>
            <wp:wrapTight wrapText="bothSides">
              <wp:wrapPolygon edited="0">
                <wp:start x="-698" y="0"/>
                <wp:lineTo x="-698" y="20741"/>
                <wp:lineTo x="21647" y="20741"/>
                <wp:lineTo x="21647" y="0"/>
                <wp:lineTo x="-698" y="0"/>
              </wp:wrapPolygon>
            </wp:wrapTight>
            <wp:docPr id="2" name="Immagin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592">
        <w:rPr>
          <w:b/>
          <w:bCs/>
          <w:sz w:val="28"/>
          <w:szCs w:val="28"/>
        </w:rPr>
        <w:t xml:space="preserve">LICEO SCIENTIFICO STATALE </w:t>
      </w:r>
      <w:r w:rsidRPr="00133592">
        <w:rPr>
          <w:sz w:val="28"/>
          <w:szCs w:val="28"/>
        </w:rPr>
        <w:t xml:space="preserve">“ALFONSO GATTO” </w:t>
      </w:r>
    </w:p>
    <w:p w:rsidR="00497C6A" w:rsidRPr="00133592" w:rsidRDefault="00497C6A" w:rsidP="00497C6A">
      <w:pPr>
        <w:pStyle w:val="Default"/>
        <w:jc w:val="center"/>
        <w:rPr>
          <w:sz w:val="28"/>
          <w:szCs w:val="28"/>
        </w:rPr>
      </w:pPr>
      <w:r w:rsidRPr="00133592">
        <w:rPr>
          <w:b/>
          <w:bCs/>
          <w:sz w:val="28"/>
          <w:szCs w:val="28"/>
        </w:rPr>
        <w:t>– AGROPOLI- SA</w:t>
      </w:r>
    </w:p>
    <w:p w:rsidR="00497C6A" w:rsidRDefault="00497C6A" w:rsidP="00497C6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C.F. 81001630656 - </w:t>
      </w:r>
      <w:r>
        <w:rPr>
          <w:i/>
          <w:iCs/>
          <w:sz w:val="23"/>
          <w:szCs w:val="23"/>
        </w:rPr>
        <w:t xml:space="preserve">Sito web:www. </w:t>
      </w:r>
      <w:proofErr w:type="spellStart"/>
      <w:r>
        <w:rPr>
          <w:i/>
          <w:iCs/>
          <w:sz w:val="23"/>
          <w:szCs w:val="23"/>
        </w:rPr>
        <w:t>liceogatto.it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i/>
          <w:iCs/>
          <w:sz w:val="20"/>
          <w:szCs w:val="20"/>
        </w:rPr>
        <w:t xml:space="preserve">- saps11000c@istruzione.it </w:t>
      </w:r>
    </w:p>
    <w:p w:rsidR="00497C6A" w:rsidRDefault="00497C6A" w:rsidP="00497C6A">
      <w:pPr>
        <w:spacing w:line="40" w:lineRule="atLeast"/>
        <w:jc w:val="center"/>
        <w:rPr>
          <w:i/>
          <w:iCs/>
          <w:sz w:val="20"/>
        </w:rPr>
      </w:pPr>
      <w:r>
        <w:rPr>
          <w:i/>
          <w:iCs/>
          <w:sz w:val="20"/>
        </w:rPr>
        <w:t>Sezione scientifica via Dante Alighieri,1  tel.0974/822399 – telefax 0974/827982</w:t>
      </w:r>
    </w:p>
    <w:p w:rsidR="00497C6A" w:rsidRDefault="00497C6A" w:rsidP="00497C6A">
      <w:pPr>
        <w:spacing w:line="40" w:lineRule="atLeast"/>
        <w:jc w:val="center"/>
        <w:rPr>
          <w:b/>
          <w:sz w:val="12"/>
        </w:rPr>
      </w:pPr>
      <w:r>
        <w:rPr>
          <w:i/>
          <w:iCs/>
          <w:sz w:val="20"/>
        </w:rPr>
        <w:t>Sezione classica via Pio X telefax 0974/823212</w:t>
      </w:r>
    </w:p>
    <w:p w:rsidR="00497C6A" w:rsidRDefault="00497C6A" w:rsidP="00497C6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497C6A" w:rsidRDefault="00497C6A" w:rsidP="00497C6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497C6A" w:rsidRDefault="00497C6A" w:rsidP="000773B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REGOLAMENTO PER L'ISTITUZIONE E LA TENUTA</w:t>
      </w:r>
    </w:p>
    <w:p w:rsidR="00497C6A" w:rsidRDefault="00497C6A" w:rsidP="000773B9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DELL'ALBO FORNITORI</w:t>
      </w:r>
    </w:p>
    <w:p w:rsidR="000773B9" w:rsidRDefault="000773B9" w:rsidP="00497C6A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VISTO </w:t>
      </w:r>
      <w:r w:rsidRPr="001C75F5">
        <w:rPr>
          <w:rFonts w:ascii="Arial" w:hAnsi="Arial" w:cs="Arial"/>
          <w:color w:val="000000"/>
        </w:rPr>
        <w:t>il D.I. n. 44/2001 in particolare gli art. 33 e 34 riguardanti rispettivamente, interventi del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Consiglio di Istituto nell'attività negoziale e la procedura ordinaria in merito agli acquisti e contratti;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CONSIDERATO </w:t>
      </w:r>
      <w:r w:rsidRPr="001C75F5">
        <w:rPr>
          <w:rFonts w:ascii="Arial" w:hAnsi="Arial" w:cs="Arial"/>
          <w:color w:val="000000"/>
        </w:rPr>
        <w:t>che l'attività negoziale prevista dall'art. 31 e 32 del D.I.44/2001 è di competenza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della Dirigenza, nel rispetto delle deliberazioni assunte dal Consiglio di Istituto;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VISTA </w:t>
      </w:r>
      <w:r w:rsidRPr="001C75F5">
        <w:rPr>
          <w:rFonts w:ascii="Arial" w:hAnsi="Arial" w:cs="Arial"/>
          <w:color w:val="000000"/>
        </w:rPr>
        <w:t xml:space="preserve">la circolare </w:t>
      </w:r>
      <w:proofErr w:type="spellStart"/>
      <w:r w:rsidRPr="001C75F5">
        <w:rPr>
          <w:rFonts w:ascii="Arial" w:hAnsi="Arial" w:cs="Arial"/>
          <w:color w:val="000000"/>
        </w:rPr>
        <w:t>Prot</w:t>
      </w:r>
      <w:proofErr w:type="spellEnd"/>
      <w:r w:rsidRPr="001C75F5">
        <w:rPr>
          <w:rFonts w:ascii="Arial" w:hAnsi="Arial" w:cs="Arial"/>
          <w:color w:val="000000"/>
        </w:rPr>
        <w:t>. AOODGAI/10565 del 04/07/2012 e relativi allegati con cui si forniscono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alle Istituzioni scolastiche beneficiarie dei finanziamenti europei chiarimenti e istruzioni in ordine alle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procedure per l'acquisizione in economia di lavori e servizi, ivi compresi i servizi di ingegneria ed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architettura, e forniture funzionali alla realizzazione degli interventi finanziati dal PON FSE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“Competenze per lo Sviluppo” e dal PON FESR “Ambienti per l'apprendimento” ai sensi dell’art. 125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del </w:t>
      </w:r>
      <w:proofErr w:type="spellStart"/>
      <w:r w:rsidRPr="001C75F5">
        <w:rPr>
          <w:rFonts w:ascii="Arial" w:hAnsi="Arial" w:cs="Arial"/>
          <w:color w:val="000000"/>
        </w:rPr>
        <w:t>D.Lgs</w:t>
      </w:r>
      <w:proofErr w:type="spellEnd"/>
      <w:r w:rsidRPr="001C75F5">
        <w:rPr>
          <w:rFonts w:ascii="Arial" w:hAnsi="Arial" w:cs="Arial"/>
          <w:color w:val="000000"/>
        </w:rPr>
        <w:t xml:space="preserve"> 16 aprile 2006, n. 163 e </w:t>
      </w:r>
      <w:proofErr w:type="spellStart"/>
      <w:r w:rsidRPr="001C75F5">
        <w:rPr>
          <w:rFonts w:ascii="Arial" w:hAnsi="Arial" w:cs="Arial"/>
          <w:color w:val="000000"/>
        </w:rPr>
        <w:t>ss.mm.ii.</w:t>
      </w:r>
      <w:proofErr w:type="spellEnd"/>
      <w:r w:rsidRPr="001C75F5">
        <w:rPr>
          <w:rFonts w:ascii="Arial" w:hAnsi="Arial" w:cs="Arial"/>
          <w:color w:val="000000"/>
        </w:rPr>
        <w:t xml:space="preserve"> (il “Codice degli Appalti”), dell'art. 267, comma 10 del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DPR 207/2010 (il “Regolamento di Attuazione”), e dell’articolo 34 del D.I. 1 febbraio 2001, n. 44 (il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“Regolamento sulla Contabilità delle Istituzioni Scolastiche”);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CONSIDERATA </w:t>
      </w:r>
      <w:r w:rsidRPr="001C75F5">
        <w:rPr>
          <w:rFonts w:ascii="Arial" w:hAnsi="Arial" w:cs="Arial"/>
          <w:color w:val="000000"/>
        </w:rPr>
        <w:t xml:space="preserve">l’estrema rilevanza che la materia degli appalti riveste a livello </w:t>
      </w:r>
      <w:r w:rsidR="000773B9" w:rsidRPr="001C75F5">
        <w:rPr>
          <w:rFonts w:ascii="Arial" w:hAnsi="Arial" w:cs="Arial"/>
          <w:color w:val="000000"/>
        </w:rPr>
        <w:t xml:space="preserve"> </w:t>
      </w:r>
      <w:proofErr w:type="spellStart"/>
      <w:r w:rsidRPr="001C75F5">
        <w:rPr>
          <w:rFonts w:ascii="Arial" w:hAnsi="Arial" w:cs="Arial"/>
          <w:color w:val="000000"/>
        </w:rPr>
        <w:t>omunitario</w:t>
      </w:r>
      <w:proofErr w:type="spellEnd"/>
      <w:r w:rsidRPr="001C75F5">
        <w:rPr>
          <w:rFonts w:ascii="Arial" w:hAnsi="Arial" w:cs="Arial"/>
          <w:color w:val="000000"/>
        </w:rPr>
        <w:t>;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CONSIDERATO </w:t>
      </w:r>
      <w:r w:rsidRPr="001C75F5">
        <w:rPr>
          <w:rFonts w:ascii="Arial" w:hAnsi="Arial" w:cs="Arial"/>
          <w:color w:val="000000"/>
        </w:rPr>
        <w:t>che il rispetto della disciplina afferente le procedura di evidenza pubblica, ai fini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della selezione del soggetto al quale affidare l’appalto, forma oggetto di costante controllo da parte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degli organismi comunitari e le Autorità nazionali sono chiamate a garantire la corretta gestione degli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appalti;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CONSIDERATO </w:t>
      </w:r>
      <w:r w:rsidRPr="001C75F5">
        <w:rPr>
          <w:rFonts w:ascii="Arial" w:hAnsi="Arial" w:cs="Arial"/>
          <w:color w:val="000000"/>
        </w:rPr>
        <w:t>che la non corretta applicazione della normativa in materia di appalti comporta la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totale inammissibilità della spesa dei relativi progetti;</w:t>
      </w:r>
    </w:p>
    <w:p w:rsidR="00497C6A" w:rsidRPr="001C75F5" w:rsidRDefault="00497C6A" w:rsidP="000773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VISTO </w:t>
      </w:r>
      <w:r w:rsidRPr="001C75F5">
        <w:rPr>
          <w:rFonts w:ascii="Arial" w:hAnsi="Arial" w:cs="Arial"/>
          <w:color w:val="000000"/>
        </w:rPr>
        <w:t>l'art. 2 del D.L.vo 163/2006 - Principi di economicità, efficacia, tempestività, correttezza,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libera concorrenza, parità di trattamento, non discriminazione, trasparenza, proporzionalità e</w:t>
      </w:r>
      <w:r w:rsidR="000773B9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pubblicità;</w:t>
      </w:r>
    </w:p>
    <w:p w:rsidR="00497C6A" w:rsidRPr="001C75F5" w:rsidRDefault="00497C6A" w:rsidP="00CF68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VISTO </w:t>
      </w:r>
      <w:r w:rsidRPr="001C75F5">
        <w:rPr>
          <w:rFonts w:ascii="Arial" w:hAnsi="Arial" w:cs="Arial"/>
          <w:color w:val="000000"/>
        </w:rPr>
        <w:t xml:space="preserve">l’art. 125, comma 12 del Decreto Legislativo 12.04.2006 n. 163 (“Codice dei </w:t>
      </w:r>
      <w:r w:rsidR="000773B9" w:rsidRPr="001C75F5">
        <w:rPr>
          <w:rFonts w:ascii="Arial" w:hAnsi="Arial" w:cs="Arial"/>
          <w:color w:val="000000"/>
        </w:rPr>
        <w:t xml:space="preserve"> </w:t>
      </w:r>
      <w:proofErr w:type="spellStart"/>
      <w:r w:rsidRPr="001C75F5">
        <w:rPr>
          <w:rFonts w:ascii="Arial" w:hAnsi="Arial" w:cs="Arial"/>
          <w:color w:val="000000"/>
        </w:rPr>
        <w:t>ontratti</w:t>
      </w:r>
      <w:proofErr w:type="spellEnd"/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Pubblici”) che prevede la tenuta da parte delle stazioni appaltanti di un Albo Fornitori con la finalità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di definire un numero di operatori economici per i quali risultano preliminarmente dichiarati e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comprovati ai sensi del D.P.R. 445/2000 i requisiti di ordine generale, capacità economica e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finanziaria nonché i requisiti di capacità tecnica e professionale di cui agli artt., 38, 39, 41 , 42 e 43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del Codice;</w:t>
      </w:r>
    </w:p>
    <w:p w:rsidR="00497C6A" w:rsidRPr="001C75F5" w:rsidRDefault="00497C6A" w:rsidP="00CF68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VISTO </w:t>
      </w:r>
      <w:r w:rsidRPr="001C75F5">
        <w:rPr>
          <w:rFonts w:ascii="Arial" w:hAnsi="Arial" w:cs="Arial"/>
          <w:color w:val="000000"/>
        </w:rPr>
        <w:t xml:space="preserve">l’art. 125, comma 8, del </w:t>
      </w:r>
      <w:proofErr w:type="spellStart"/>
      <w:r w:rsidRPr="001C75F5">
        <w:rPr>
          <w:rFonts w:ascii="Arial" w:hAnsi="Arial" w:cs="Arial"/>
          <w:color w:val="000000"/>
        </w:rPr>
        <w:t>D.Lgs</w:t>
      </w:r>
      <w:proofErr w:type="spellEnd"/>
      <w:r w:rsidRPr="001C75F5">
        <w:rPr>
          <w:rFonts w:ascii="Arial" w:hAnsi="Arial" w:cs="Arial"/>
          <w:color w:val="000000"/>
        </w:rPr>
        <w:t xml:space="preserve"> 163/2006 “Codice dei contratti pubblici di lavori, servizi e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forniture”che prevede che i lavori di importo pari o superiore ad € 40.000,00 e fino ad € 200.000,00,</w:t>
      </w:r>
    </w:p>
    <w:p w:rsidR="00497C6A" w:rsidRPr="001C75F5" w:rsidRDefault="00497C6A" w:rsidP="00CF68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possono essere affidati mediante cottimo fiduciario nel rispetto dei principi di trasparenza, rotazione,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parità di trattamento, previa consultazione di almeno n.5 operatori economici, se sussistono in tale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numero soggetti idonei, individuati sulla base di indagini di mercato ovvero tramite elenchi di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operatori economici predisposti dalla stazione appaltante;</w:t>
      </w:r>
    </w:p>
    <w:p w:rsidR="00497C6A" w:rsidRPr="001C75F5" w:rsidRDefault="00497C6A" w:rsidP="00CF68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CONSIDERATA </w:t>
      </w:r>
      <w:r w:rsidRPr="001C75F5">
        <w:rPr>
          <w:rFonts w:ascii="Arial" w:hAnsi="Arial" w:cs="Arial"/>
          <w:color w:val="000000"/>
        </w:rPr>
        <w:t>la necessità di rendere operativa la norma de quo e quindi di procedere alla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formazione di elenchi di fornitori e di imprese di fiducia che possano accedere alle procedure per</w:t>
      </w:r>
      <w:r w:rsidR="00CF68B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l’acquisizione in economia di lavori servizi e forniture sottosoglia comunitaria;</w:t>
      </w:r>
    </w:p>
    <w:p w:rsidR="00497C6A" w:rsidRPr="001C75F5" w:rsidRDefault="00497C6A" w:rsidP="00CF68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 xml:space="preserve">CONSIDERATO </w:t>
      </w:r>
      <w:r w:rsidRPr="001C75F5">
        <w:rPr>
          <w:rFonts w:ascii="Arial" w:hAnsi="Arial" w:cs="Arial"/>
          <w:color w:val="000000"/>
        </w:rPr>
        <w:t>che anche le Istituzioni Scolastiche, in quanto stazioni appaltanti, sono tenute a</w:t>
      </w:r>
      <w:r w:rsidR="00FC0035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redigere un proprio regolamento interno, per l’istituzione e la tenuta dell’albo dei fornitori idoneo a</w:t>
      </w:r>
      <w:r w:rsidR="00FC0035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lastRenderedPageBreak/>
        <w:t>garantire il pieno rispetto delle norme del codice degli appalti, per gli affidamenti in economia, ai</w:t>
      </w:r>
      <w:r w:rsidR="00FC0035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sensi dell’art. 125 del </w:t>
      </w:r>
      <w:proofErr w:type="spellStart"/>
      <w:r w:rsidRPr="001C75F5">
        <w:rPr>
          <w:rFonts w:ascii="Arial" w:hAnsi="Arial" w:cs="Arial"/>
          <w:color w:val="000000"/>
        </w:rPr>
        <w:t>D.Lgs</w:t>
      </w:r>
      <w:proofErr w:type="spellEnd"/>
      <w:r w:rsidRPr="001C75F5">
        <w:rPr>
          <w:rFonts w:ascii="Arial" w:hAnsi="Arial" w:cs="Arial"/>
          <w:color w:val="000000"/>
        </w:rPr>
        <w:t xml:space="preserve"> 163/2006;</w:t>
      </w:r>
    </w:p>
    <w:p w:rsidR="00FC0035" w:rsidRPr="001C75F5" w:rsidRDefault="00FC0035" w:rsidP="00CF68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97C6A" w:rsidRPr="001C75F5" w:rsidRDefault="00497C6A" w:rsidP="00FC0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>IL CONSIGLIO D’ISTITUTO</w:t>
      </w:r>
    </w:p>
    <w:p w:rsidR="00497C6A" w:rsidRPr="001C75F5" w:rsidRDefault="00497C6A" w:rsidP="00FC0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>DELIBERA</w:t>
      </w:r>
    </w:p>
    <w:p w:rsidR="00497C6A" w:rsidRPr="001C75F5" w:rsidRDefault="00497C6A" w:rsidP="00FC0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>il presente</w:t>
      </w:r>
    </w:p>
    <w:p w:rsidR="00497C6A" w:rsidRPr="001C75F5" w:rsidRDefault="00497C6A" w:rsidP="00FC0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>REGOLAMENTO PER L'ISTITUZIONE E LA TENUTA</w:t>
      </w:r>
    </w:p>
    <w:p w:rsidR="00497C6A" w:rsidRPr="001C75F5" w:rsidRDefault="00497C6A" w:rsidP="00FC0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>DELL'ALBO DEI FORNITORI</w:t>
      </w:r>
    </w:p>
    <w:p w:rsidR="00497C6A" w:rsidRPr="001C75F5" w:rsidRDefault="00497C6A" w:rsidP="00FC00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t>PARTE PRIMA - DISPOSIZIONI GENERALI</w:t>
      </w:r>
    </w:p>
    <w:p w:rsidR="00FA497A" w:rsidRPr="001C75F5" w:rsidRDefault="00FA497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497C6A" w:rsidRPr="001C75F5" w:rsidRDefault="00497C6A" w:rsidP="00FA4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1 – Istituzione albo annuale</w:t>
      </w:r>
      <w:r w:rsidRPr="001C75F5">
        <w:rPr>
          <w:rFonts w:ascii="Arial" w:hAnsi="Arial" w:cs="Arial"/>
          <w:color w:val="000000"/>
        </w:rPr>
        <w:t>.</w:t>
      </w:r>
    </w:p>
    <w:p w:rsidR="00497C6A" w:rsidRPr="001C75F5" w:rsidRDefault="00497C6A" w:rsidP="00FA4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 xml:space="preserve">È istituito presso l'Istituzione scolastica </w:t>
      </w:r>
      <w:r w:rsidR="00FA497A" w:rsidRPr="001C75F5">
        <w:rPr>
          <w:rFonts w:ascii="Arial" w:hAnsi="Arial" w:cs="Arial"/>
          <w:color w:val="000000"/>
        </w:rPr>
        <w:t>Liceo scientifico “</w:t>
      </w:r>
      <w:proofErr w:type="spellStart"/>
      <w:r w:rsidR="00FA497A" w:rsidRPr="001C75F5">
        <w:rPr>
          <w:rFonts w:ascii="Arial" w:hAnsi="Arial" w:cs="Arial"/>
          <w:color w:val="000000"/>
        </w:rPr>
        <w:t>A.Gatto</w:t>
      </w:r>
      <w:proofErr w:type="spellEnd"/>
      <w:r w:rsidR="00FA497A" w:rsidRPr="001C75F5">
        <w:rPr>
          <w:rFonts w:ascii="Arial" w:hAnsi="Arial" w:cs="Arial"/>
          <w:color w:val="000000"/>
        </w:rPr>
        <w:t xml:space="preserve">” di </w:t>
      </w:r>
      <w:proofErr w:type="spellStart"/>
      <w:r w:rsidR="00FA497A" w:rsidRPr="001C75F5">
        <w:rPr>
          <w:rFonts w:ascii="Arial" w:hAnsi="Arial" w:cs="Arial"/>
          <w:color w:val="000000"/>
        </w:rPr>
        <w:t>Agropoli</w:t>
      </w:r>
      <w:proofErr w:type="spellEnd"/>
      <w:r w:rsidR="00FA497A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 l'Albo annuale dei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Fornitori ai sensi dell’art. 125, comma 12 del Decreto Legislativo 12.04.2006 n. 163 (“Codice dei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Contratti Pubblici”).</w:t>
      </w:r>
    </w:p>
    <w:p w:rsidR="00497C6A" w:rsidRPr="001C75F5" w:rsidRDefault="00497C6A" w:rsidP="00FA49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2 – Procedura per l'istituzione e la formazione dell'Albo</w:t>
      </w:r>
    </w:p>
    <w:p w:rsidR="00497C6A" w:rsidRPr="001C75F5" w:rsidRDefault="00497C6A" w:rsidP="00FA49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L'Albo dei Fornitori e delle ditte di fiducia dell'Istituzione scolastica viene approvato dal Consiglio di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Istituto con adozione di apposito atto deliberativo.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3 – Oggetto e scopo del regolamento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1. Il presente regolamento, redatto nel rispetto dei principi di non discriminazione, parità di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trattamento, proporzionalità e trasparenza, disciplina la tenuta dell’Albo Fornitori previsto dall’art.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125 c. 12 del Decreto Legislativo 12.04.2006 n. 163 “Codice dei Contratti Pubblici” con la finalità di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definire un numero di operatori economici per i quali risultano preliminarmente dichiarati e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comprovati ai sensi del D.P.R. 445/2000 i requisiti di ordine generale, capacità economica e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finanziaria nonché i requisiti di capacità tecnica e professionale di cui agli artt. 38, 39, 41 , 42 e 43 del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Codice.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2. La pubblicazione del presente regolamento e degli avvisi preparatori, nonché la diffusione della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documentazione richiamata nel presente regolamento e la stessa istituzione dell’Albo non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costituiscono in alcun modo l’avvio di una procedura di affidamento di contratti pubblici, ma sono atti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esclusivamente </w:t>
      </w:r>
      <w:proofErr w:type="spellStart"/>
      <w:r w:rsidRPr="001C75F5">
        <w:rPr>
          <w:rFonts w:ascii="Arial" w:hAnsi="Arial" w:cs="Arial"/>
          <w:color w:val="000000"/>
        </w:rPr>
        <w:t>prodromici</w:t>
      </w:r>
      <w:proofErr w:type="spellEnd"/>
      <w:r w:rsidRPr="001C75F5">
        <w:rPr>
          <w:rFonts w:ascii="Arial" w:hAnsi="Arial" w:cs="Arial"/>
          <w:color w:val="000000"/>
        </w:rPr>
        <w:t xml:space="preserve"> alla creazione di una banca dati di operatori economici referenziati presso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cui attingere nei casi precisati dagli articoli seguenti.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3. L’iscrizione di un operatore economico nell’Albo costituisce presunzione di idoneità di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 xml:space="preserve">partecipazione per quel soggetto alle procedure di affidamento di servizi, forniture da parte </w:t>
      </w:r>
      <w:r w:rsidR="00244598" w:rsidRPr="001C75F5">
        <w:rPr>
          <w:rFonts w:ascii="Arial" w:hAnsi="Arial" w:cs="Arial"/>
          <w:color w:val="000000"/>
        </w:rPr>
        <w:t>Liceo Scientifico “</w:t>
      </w:r>
      <w:proofErr w:type="spellStart"/>
      <w:r w:rsidR="00244598" w:rsidRPr="001C75F5">
        <w:rPr>
          <w:rFonts w:ascii="Arial" w:hAnsi="Arial" w:cs="Arial"/>
          <w:color w:val="000000"/>
        </w:rPr>
        <w:t>A.Gatto</w:t>
      </w:r>
      <w:proofErr w:type="spellEnd"/>
      <w:r w:rsidR="00244598" w:rsidRPr="001C75F5">
        <w:rPr>
          <w:rFonts w:ascii="Arial" w:hAnsi="Arial" w:cs="Arial"/>
          <w:color w:val="000000"/>
        </w:rPr>
        <w:t>”.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4. Resta ferma la facoltà dell' Istituzione scolastica, in casi particolari e motivati, di invitare o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interpellare anche altre ditte ritenute idonee, oltre quelle iscritte nell'albo nella Sezione pertinente.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4 – Campo di applicazione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L'Albo dei fornitori sarà utilizzato nel pieno rispetto della normativa in materia di appalti pubblici di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forniture di beni e servizi.</w:t>
      </w:r>
    </w:p>
    <w:p w:rsidR="00244598" w:rsidRPr="001C75F5" w:rsidRDefault="00244598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5 – Responsabile dell’Albo Fornitori</w:t>
      </w:r>
    </w:p>
    <w:p w:rsidR="00497C6A" w:rsidRPr="001C75F5" w:rsidRDefault="00497C6A" w:rsidP="002445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La responsabilità della tenuta dell’Albo fornitori è in capo al DSGA attraverso un responsabile del</w:t>
      </w:r>
      <w:r w:rsidR="00244598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procedimento appositamente designato.</w:t>
      </w:r>
    </w:p>
    <w:p w:rsidR="001267A7" w:rsidRDefault="001267A7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6 - Trattamento dei dati personali</w:t>
      </w:r>
    </w:p>
    <w:p w:rsidR="00497C6A" w:rsidRPr="001C75F5" w:rsidRDefault="00497C6A" w:rsidP="00520C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 xml:space="preserve">1. Ai sensi del </w:t>
      </w:r>
      <w:proofErr w:type="spellStart"/>
      <w:r w:rsidRPr="001C75F5">
        <w:rPr>
          <w:rFonts w:ascii="Arial" w:hAnsi="Arial" w:cs="Arial"/>
          <w:color w:val="000000"/>
        </w:rPr>
        <w:t>D.Lgs</w:t>
      </w:r>
      <w:proofErr w:type="spellEnd"/>
      <w:r w:rsidRPr="001C75F5">
        <w:rPr>
          <w:rFonts w:ascii="Arial" w:hAnsi="Arial" w:cs="Arial"/>
          <w:color w:val="000000"/>
        </w:rPr>
        <w:t xml:space="preserve"> 196/2003 i dati forniti saranno raccolti per l’iscrizione all’Albo fornitori o, per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le finalità dichiarate all’art. 3 del presente Regolamento. La scuola tratterà le informazioni di cui verrà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in possesso a seguito delle istanze di iscrizione all'Albo annuale Fornitori tenendo conto dei legittimi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interessi della Ditta/Società relativi alla protezione dei segreti tecnici e commerciali e della normativa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sulla privacy di cui al </w:t>
      </w:r>
      <w:proofErr w:type="spellStart"/>
      <w:r w:rsidRPr="001C75F5">
        <w:rPr>
          <w:rFonts w:ascii="Arial" w:hAnsi="Arial" w:cs="Arial"/>
          <w:color w:val="000000"/>
        </w:rPr>
        <w:t>D.Lgs.</w:t>
      </w:r>
      <w:proofErr w:type="spellEnd"/>
      <w:r w:rsidRPr="001C75F5">
        <w:rPr>
          <w:rFonts w:ascii="Arial" w:hAnsi="Arial" w:cs="Arial"/>
          <w:color w:val="000000"/>
        </w:rPr>
        <w:t xml:space="preserve"> 196/03.</w:t>
      </w:r>
    </w:p>
    <w:p w:rsidR="00497C6A" w:rsidRPr="001C75F5" w:rsidRDefault="00497C6A" w:rsidP="00520C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2. I dati acquisiti saranno trattati solo da personale appositamente incaricato in modo da garantirne la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sicurezza e la riservatezza, con particolare riferimento all’utilizzo di idonee misure di sicurezza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tecniche ed organizzative. Le modalità di trattamento possono prevedere l’utilizzo di elaboratori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elettronici e potranno essere trattati in modo automatico ed automatizzato.</w:t>
      </w:r>
    </w:p>
    <w:p w:rsidR="00497C6A" w:rsidRPr="001C75F5" w:rsidRDefault="00497C6A" w:rsidP="00520C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3. Titolare del trattamento dei dati è il DSGA cui sono demandati i poteri e le responsabilità dei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processi e degli adempimenti relativi alla tutela dei dati personali che li esercita in qualità di</w:t>
      </w:r>
      <w:r w:rsidR="00520C7C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Responsabile del trattamento.</w:t>
      </w:r>
    </w:p>
    <w:p w:rsidR="00497C6A" w:rsidRPr="001C75F5" w:rsidRDefault="00497C6A" w:rsidP="001C7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C75F5">
        <w:rPr>
          <w:rFonts w:ascii="Arial" w:hAnsi="Arial" w:cs="Arial"/>
          <w:b/>
          <w:bCs/>
          <w:color w:val="000000"/>
        </w:rPr>
        <w:lastRenderedPageBreak/>
        <w:t>PARTE SECONDA – GESTIONE DELL’ALBO FORNITORI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7- Requisiti per l’iscrizione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1. Per essere iscritti all'Albo dei fornitori e delle ditte di fiducia dell' Istituzione scolastica, occorre:</w:t>
      </w:r>
    </w:p>
    <w:p w:rsidR="00497C6A" w:rsidRPr="001C75F5" w:rsidRDefault="00497C6A" w:rsidP="007039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a) Essere in possesso dei requisiti di ordine generali richiesti per la partecipazione alle procedure</w:t>
      </w:r>
      <w:r w:rsidR="0070394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di affidamento di cui all’art. 38 del D.lgs. n. 163/2006. Le imprese istanti devono attestare il possesso</w:t>
      </w:r>
      <w:r w:rsidR="0070394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dei requisiti mediante dichiarazione </w:t>
      </w:r>
      <w:proofErr w:type="spellStart"/>
      <w:r w:rsidRPr="001C75F5">
        <w:rPr>
          <w:rFonts w:ascii="Arial" w:hAnsi="Arial" w:cs="Arial"/>
          <w:color w:val="000000"/>
        </w:rPr>
        <w:t>sostitutitiva</w:t>
      </w:r>
      <w:proofErr w:type="spellEnd"/>
      <w:r w:rsidRPr="001C75F5">
        <w:rPr>
          <w:rFonts w:ascii="Arial" w:hAnsi="Arial" w:cs="Arial"/>
          <w:color w:val="000000"/>
        </w:rPr>
        <w:t xml:space="preserve"> in conformità delle previsioni del testo unico delle</w:t>
      </w:r>
      <w:r w:rsidR="0070394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disposizioni legislative e regolamentari in materia di documentazione amministrativa di cui al decreto</w:t>
      </w:r>
      <w:r w:rsidR="0070394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del Presidente della Repubblica 28 dicembre 2000 </w:t>
      </w:r>
      <w:proofErr w:type="spellStart"/>
      <w:r w:rsidRPr="001C75F5">
        <w:rPr>
          <w:rFonts w:ascii="Arial" w:hAnsi="Arial" w:cs="Arial"/>
          <w:color w:val="000000"/>
        </w:rPr>
        <w:t>n°</w:t>
      </w:r>
      <w:proofErr w:type="spellEnd"/>
      <w:r w:rsidRPr="001C75F5">
        <w:rPr>
          <w:rFonts w:ascii="Arial" w:hAnsi="Arial" w:cs="Arial"/>
          <w:color w:val="000000"/>
        </w:rPr>
        <w:t xml:space="preserve"> 445;</w:t>
      </w:r>
    </w:p>
    <w:p w:rsidR="00497C6A" w:rsidRPr="001C75F5" w:rsidRDefault="00497C6A" w:rsidP="00D76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b) Essere in possesso dei requisiti di idoneità professionale di cui all’art. 39 del D.lgs. n.</w:t>
      </w:r>
    </w:p>
    <w:p w:rsidR="00497C6A" w:rsidRPr="001C75F5" w:rsidRDefault="00497C6A" w:rsidP="00D76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 xml:space="preserve">163/2006 comprovata da certificato di iscrizione alla Camera di Commercio </w:t>
      </w:r>
      <w:r w:rsidR="00703942" w:rsidRPr="001C75F5">
        <w:rPr>
          <w:rFonts w:ascii="Arial" w:hAnsi="Arial" w:cs="Arial"/>
          <w:color w:val="000000"/>
        </w:rPr>
        <w:t xml:space="preserve"> te</w:t>
      </w:r>
      <w:r w:rsidRPr="001C75F5">
        <w:rPr>
          <w:rFonts w:ascii="Arial" w:hAnsi="Arial" w:cs="Arial"/>
          <w:color w:val="000000"/>
        </w:rPr>
        <w:t>rritorialmente</w:t>
      </w:r>
      <w:r w:rsidR="00D76E0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competente in corso di validità – completo delle diciture fallimentare ed antimafia ai sensi dell’art. 9</w:t>
      </w:r>
      <w:r w:rsidR="00D76E06" w:rsidRPr="001C75F5">
        <w:rPr>
          <w:rFonts w:ascii="Arial" w:hAnsi="Arial" w:cs="Arial"/>
          <w:color w:val="000000"/>
        </w:rPr>
        <w:t xml:space="preserve">  </w:t>
      </w:r>
      <w:r w:rsidRPr="001C75F5">
        <w:rPr>
          <w:rFonts w:ascii="Arial" w:hAnsi="Arial" w:cs="Arial"/>
          <w:color w:val="000000"/>
        </w:rPr>
        <w:t xml:space="preserve">del D.P.R. 252/98 e </w:t>
      </w:r>
      <w:proofErr w:type="spellStart"/>
      <w:r w:rsidRPr="001C75F5">
        <w:rPr>
          <w:rFonts w:ascii="Arial" w:hAnsi="Arial" w:cs="Arial"/>
          <w:color w:val="000000"/>
        </w:rPr>
        <w:t>s.m.i.</w:t>
      </w:r>
      <w:proofErr w:type="spellEnd"/>
      <w:r w:rsidRPr="001C75F5">
        <w:rPr>
          <w:rFonts w:ascii="Arial" w:hAnsi="Arial" w:cs="Arial"/>
          <w:color w:val="000000"/>
        </w:rPr>
        <w:t>, e dal quale risulti l’iscrizione per i lavori, beni e servizi per i quali si</w:t>
      </w:r>
      <w:r w:rsidR="00D76E0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richiede l’iscrizione all’Albo;</w:t>
      </w:r>
    </w:p>
    <w:p w:rsidR="00497C6A" w:rsidRPr="001C75F5" w:rsidRDefault="00497C6A" w:rsidP="00D76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c) Essere in possesso dei requisiti di capacità economica e finanziaria di cui all’art. 41 del D.lgs.</w:t>
      </w:r>
    </w:p>
    <w:p w:rsidR="00497C6A" w:rsidRPr="001C75F5" w:rsidRDefault="00497C6A" w:rsidP="00D76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n. 163/2006 comprovata attraverso la presentazione di dichiarazione sottoscritta in conformità alle</w:t>
      </w:r>
      <w:r w:rsidR="00D76E0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disposizioni del d. P. R. 28 dicembre 2000 </w:t>
      </w:r>
      <w:proofErr w:type="spellStart"/>
      <w:r w:rsidRPr="001C75F5">
        <w:rPr>
          <w:rFonts w:ascii="Arial" w:hAnsi="Arial" w:cs="Arial"/>
          <w:color w:val="000000"/>
        </w:rPr>
        <w:t>n°</w:t>
      </w:r>
      <w:proofErr w:type="spellEnd"/>
      <w:r w:rsidRPr="001C75F5">
        <w:rPr>
          <w:rFonts w:ascii="Arial" w:hAnsi="Arial" w:cs="Arial"/>
          <w:color w:val="000000"/>
        </w:rPr>
        <w:t xml:space="preserve"> 445 concernente il fatturato globale d’impresa e</w:t>
      </w:r>
      <w:r w:rsidR="00D76E0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l’importo relativo ai servizi o forniture realizzati negli ultimi tre esercizi;</w:t>
      </w:r>
    </w:p>
    <w:p w:rsidR="00497C6A" w:rsidRPr="001C75F5" w:rsidRDefault="00497C6A" w:rsidP="00D76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d) Essere in possesso dei requisiti di capacità tecnica e professionale di cui all’art. 42 del D.lgs. n.</w:t>
      </w:r>
      <w:r w:rsidR="00D76E0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163/2006 comprovata attraverso la presentazione dell’elenco delle principali forniture prestate negli</w:t>
      </w:r>
      <w:r w:rsidR="00D76E0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ultimi tre anni con l’indicazione degli importi, delle date e dei destinatari, pubblici o privati, delle</w:t>
      </w:r>
      <w:r w:rsidR="00D76E0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forniture stesse. Le imprese istanti dovranno altresì indicare il numero medio annuo dei dipendenti e</w:t>
      </w:r>
      <w:r w:rsidR="00D76E06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dei tecnici di cui si siano avvalse negli ultimi tre anni;</w:t>
      </w:r>
    </w:p>
    <w:p w:rsidR="00497C6A" w:rsidRPr="001C75F5" w:rsidRDefault="00497C6A" w:rsidP="00D76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e) Operare in ottemperanza a determinate norme di garanzia della qualità così come previsto</w:t>
      </w:r>
      <w:r w:rsidR="00AC7FFB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dall’art. 43 del D.lgs. n. 163/2006. A tal fine le imprese istanti produrranno copia della certificazione</w:t>
      </w:r>
      <w:r w:rsidR="00AC7FFB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del sistema di qualità conforme alle norme europee della serie UNI CEI ISO 9001: 2008 o altra</w:t>
      </w:r>
      <w:r w:rsidR="00AC7FFB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equivalente, rilasciata da organismi accreditati ed in corso di validità;</w:t>
      </w:r>
    </w:p>
    <w:p w:rsidR="00497C6A" w:rsidRPr="001C75F5" w:rsidRDefault="00497C6A" w:rsidP="00AC7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f) Essere in regola con gli obblighi in materia di contributi previdenziali e assistenziali previsti</w:t>
      </w:r>
      <w:r w:rsidR="00AC7FFB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dalla vigente normativa in materia. A tal fine le imprese istanti dovranno produrre documento unico</w:t>
      </w:r>
      <w:r w:rsidR="00AC7FFB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di regolarità contributiva (DURC), attestante l’adempimento degli obblighi derivanti dal pagamento</w:t>
      </w:r>
      <w:r w:rsidR="00AC7FFB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dei contributi previdenziali ed assicurativi da parte dell’impresa in corso di validità;</w:t>
      </w:r>
    </w:p>
    <w:p w:rsidR="00497C6A" w:rsidRPr="001C75F5" w:rsidRDefault="00497C6A" w:rsidP="00AC7F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g) Essere in regola con gli obblighi inerenti la sicurezza sui luoghi di lavoro previsti dalla vigente</w:t>
      </w:r>
      <w:r w:rsidR="00AC7FFB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normativa in materia con particolare riferimento al </w:t>
      </w:r>
      <w:proofErr w:type="spellStart"/>
      <w:r w:rsidRPr="001C75F5">
        <w:rPr>
          <w:rFonts w:ascii="Arial" w:hAnsi="Arial" w:cs="Arial"/>
          <w:color w:val="000000"/>
        </w:rPr>
        <w:t>D.Lgs.</w:t>
      </w:r>
      <w:proofErr w:type="spellEnd"/>
      <w:r w:rsidRPr="001C75F5">
        <w:rPr>
          <w:rFonts w:ascii="Arial" w:hAnsi="Arial" w:cs="Arial"/>
          <w:color w:val="000000"/>
        </w:rPr>
        <w:t xml:space="preserve"> 81/2008 e </w:t>
      </w:r>
      <w:proofErr w:type="spellStart"/>
      <w:r w:rsidRPr="001C75F5">
        <w:rPr>
          <w:rFonts w:ascii="Arial" w:hAnsi="Arial" w:cs="Arial"/>
          <w:color w:val="000000"/>
        </w:rPr>
        <w:t>s.m.i</w:t>
      </w:r>
      <w:proofErr w:type="spellEnd"/>
      <w:r w:rsidRPr="001C75F5">
        <w:rPr>
          <w:rFonts w:ascii="Arial" w:hAnsi="Arial" w:cs="Arial"/>
          <w:color w:val="000000"/>
        </w:rPr>
        <w:t>;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 xml:space="preserve">Art. </w:t>
      </w:r>
      <w:r w:rsidR="00AC7FFB" w:rsidRPr="001C75F5">
        <w:rPr>
          <w:rFonts w:ascii="Arial" w:hAnsi="Arial" w:cs="Arial"/>
          <w:b/>
          <w:bCs/>
          <w:i/>
          <w:iCs/>
          <w:color w:val="000000"/>
        </w:rPr>
        <w:t>8</w:t>
      </w:r>
      <w:r w:rsidRPr="001C75F5">
        <w:rPr>
          <w:rFonts w:ascii="Arial" w:hAnsi="Arial" w:cs="Arial"/>
          <w:b/>
          <w:bCs/>
          <w:i/>
          <w:iCs/>
          <w:color w:val="000000"/>
        </w:rPr>
        <w:t xml:space="preserve"> - Modalità d'iscrizione all'Albo</w:t>
      </w:r>
    </w:p>
    <w:p w:rsidR="00531EA1" w:rsidRPr="001C75F5" w:rsidRDefault="00497C6A" w:rsidP="00531E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1. Le Ditte interessate all'iscrizione all'albo di cui al presente Regolamento devono far pervenire</w:t>
      </w:r>
      <w:r w:rsidR="00531EA1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apposita domanda sottoscritta dal titolare o dal legale rappresentante secondo i modelli allegati al</w:t>
      </w:r>
      <w:r w:rsidR="00531EA1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presente regolamento </w:t>
      </w:r>
    </w:p>
    <w:p w:rsidR="00497C6A" w:rsidRPr="001C75F5" w:rsidRDefault="00497C6A" w:rsidP="00531E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1C75F5">
        <w:rPr>
          <w:rFonts w:ascii="Arial" w:hAnsi="Arial" w:cs="Arial"/>
          <w:color w:val="000000"/>
        </w:rPr>
        <w:t xml:space="preserve">2. </w:t>
      </w:r>
      <w:r w:rsidRPr="001C75F5">
        <w:rPr>
          <w:rFonts w:ascii="Arial" w:hAnsi="Arial" w:cs="Arial"/>
          <w:b/>
          <w:bCs/>
          <w:color w:val="000000"/>
        </w:rPr>
        <w:t xml:space="preserve">La domanda d'iscrizione dovrà essere indirizzata </w:t>
      </w:r>
      <w:r w:rsidR="00531EA1" w:rsidRPr="001C75F5">
        <w:rPr>
          <w:rFonts w:ascii="Arial" w:hAnsi="Arial" w:cs="Arial"/>
          <w:b/>
          <w:bCs/>
          <w:color w:val="000000"/>
        </w:rPr>
        <w:t>al Liceo Scientifico “</w:t>
      </w:r>
      <w:proofErr w:type="spellStart"/>
      <w:r w:rsidR="00531EA1" w:rsidRPr="001C75F5">
        <w:rPr>
          <w:rFonts w:ascii="Arial" w:hAnsi="Arial" w:cs="Arial"/>
          <w:b/>
          <w:bCs/>
          <w:color w:val="000000"/>
        </w:rPr>
        <w:t>A.Gatto</w:t>
      </w:r>
      <w:proofErr w:type="spellEnd"/>
      <w:r w:rsidR="00531EA1" w:rsidRPr="001C75F5">
        <w:rPr>
          <w:rFonts w:ascii="Arial" w:hAnsi="Arial" w:cs="Arial"/>
          <w:b/>
          <w:bCs/>
          <w:color w:val="000000"/>
        </w:rPr>
        <w:t xml:space="preserve">” </w:t>
      </w:r>
      <w:r w:rsidRPr="001C75F5">
        <w:rPr>
          <w:rFonts w:ascii="Arial" w:hAnsi="Arial" w:cs="Arial"/>
          <w:b/>
          <w:bCs/>
          <w:color w:val="000000"/>
        </w:rPr>
        <w:t xml:space="preserve"> Via</w:t>
      </w:r>
      <w:r w:rsidR="00531EA1" w:rsidRPr="001C75F5">
        <w:rPr>
          <w:rFonts w:ascii="Arial" w:hAnsi="Arial" w:cs="Arial"/>
          <w:b/>
          <w:bCs/>
          <w:color w:val="000000"/>
        </w:rPr>
        <w:t xml:space="preserve"> Dante Alighieri </w:t>
      </w:r>
      <w:proofErr w:type="spellStart"/>
      <w:r w:rsidR="00531EA1" w:rsidRPr="001C75F5">
        <w:rPr>
          <w:rFonts w:ascii="Arial" w:hAnsi="Arial" w:cs="Arial"/>
          <w:b/>
          <w:bCs/>
          <w:color w:val="000000"/>
        </w:rPr>
        <w:t>Agropoli</w:t>
      </w:r>
      <w:proofErr w:type="spellEnd"/>
      <w:r w:rsidR="00531EA1" w:rsidRPr="001C75F5">
        <w:rPr>
          <w:rFonts w:ascii="Arial" w:hAnsi="Arial" w:cs="Arial"/>
          <w:b/>
          <w:bCs/>
          <w:color w:val="000000"/>
        </w:rPr>
        <w:t xml:space="preserve"> (SA) </w:t>
      </w:r>
      <w:r w:rsidRPr="001C75F5">
        <w:rPr>
          <w:rFonts w:ascii="Arial" w:hAnsi="Arial" w:cs="Arial"/>
          <w:b/>
          <w:bCs/>
          <w:color w:val="000000"/>
        </w:rPr>
        <w:t>dovrà riportare la dicitura a fronte della busta</w:t>
      </w:r>
    </w:p>
    <w:p w:rsidR="00497C6A" w:rsidRPr="001C75F5" w:rsidRDefault="00497C6A" w:rsidP="00531E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"iscrizione albo fornitori”, oppure pervenire tramite posta certificata all’indirizzo</w:t>
      </w:r>
    </w:p>
    <w:p w:rsidR="00497C6A" w:rsidRPr="001C75F5" w:rsidRDefault="00531EA1" w:rsidP="00531E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80"/>
        </w:rPr>
        <w:t>saps11000c</w:t>
      </w:r>
      <w:r w:rsidR="00497C6A" w:rsidRPr="001C75F5">
        <w:rPr>
          <w:rFonts w:ascii="Arial" w:hAnsi="Arial" w:cs="Arial"/>
          <w:color w:val="000080"/>
        </w:rPr>
        <w:t>@pec</w:t>
      </w:r>
      <w:r w:rsidR="00E15444">
        <w:rPr>
          <w:rFonts w:ascii="Arial" w:hAnsi="Arial" w:cs="Arial"/>
          <w:color w:val="000080"/>
        </w:rPr>
        <w:t>.</w:t>
      </w:r>
      <w:r w:rsidR="00497C6A" w:rsidRPr="001C75F5">
        <w:rPr>
          <w:rFonts w:ascii="Arial" w:hAnsi="Arial" w:cs="Arial"/>
          <w:color w:val="000080"/>
        </w:rPr>
        <w:t>istruzione.it</w:t>
      </w:r>
      <w:r w:rsidR="00497C6A" w:rsidRPr="001C75F5">
        <w:rPr>
          <w:rFonts w:ascii="Arial" w:hAnsi="Arial" w:cs="Arial"/>
          <w:color w:val="000000"/>
        </w:rPr>
        <w:t>.</w:t>
      </w:r>
    </w:p>
    <w:p w:rsidR="00497C6A" w:rsidRPr="001C75F5" w:rsidRDefault="00497C6A" w:rsidP="00531E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3. I soggetti che chiedono di essere iscritti, consapevoli delle sanzioni penali previste dall’art.76</w:t>
      </w:r>
      <w:r w:rsidR="00531EA1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del D.P.R. 445 del 28.12.2000 nel caso di dichiarazioni non veritiere, di formazione od uso di atti</w:t>
      </w:r>
      <w:r w:rsidR="00531EA1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falsi, sono tenuti a comunicare l’eventuale sopravvenienza di fatti o circostanze che incidono sulle</w:t>
      </w:r>
      <w:r w:rsidR="00531EA1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situazioni di cui sopra e/o eventuali modificazioni, entro 15 giorni dal loro verificarsi.</w:t>
      </w:r>
    </w:p>
    <w:p w:rsidR="00531EA1" w:rsidRPr="001C75F5" w:rsidRDefault="00531EA1" w:rsidP="00C85D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L’Istituto scolastico si riserva di non accettare  le richieste d’iscrizione all’albo per i seguenti motivi:</w:t>
      </w:r>
    </w:p>
    <w:p w:rsidR="00497C6A" w:rsidRPr="001C75F5" w:rsidRDefault="00497C6A" w:rsidP="00C85D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a) la mancata o l'incompleta presentazione della documentazione richiesta;</w:t>
      </w:r>
    </w:p>
    <w:p w:rsidR="00497C6A" w:rsidRPr="001C75F5" w:rsidRDefault="00497C6A" w:rsidP="00C85D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b) l'accertata inidoneità o incapacità delle ditte ad assumere ordinativi o incarichi relazione</w:t>
      </w:r>
    </w:p>
    <w:p w:rsidR="00497C6A" w:rsidRPr="001C75F5" w:rsidRDefault="00497C6A" w:rsidP="00C85D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all'esigenze dell'Ente;</w:t>
      </w:r>
    </w:p>
    <w:p w:rsidR="00497C6A" w:rsidRPr="001C75F5" w:rsidRDefault="00497C6A" w:rsidP="00C85D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c) il non aver portato a conclusione lavori, incarichi, forniture presso Enti pubblici;</w:t>
      </w:r>
    </w:p>
    <w:p w:rsidR="00497C6A" w:rsidRPr="001C75F5" w:rsidRDefault="00497C6A" w:rsidP="00C85D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d) aver avuto rapporti con questa Istituzione scolastica che non sono stati ritenuti idonei o</w:t>
      </w:r>
    </w:p>
    <w:p w:rsidR="00497C6A" w:rsidRPr="001C75F5" w:rsidRDefault="00497C6A" w:rsidP="00C85D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soddisfacenti o non corrispondenti a quanto richiesto. Tale inidoneità deve essere documentata e comprovata.</w:t>
      </w:r>
    </w:p>
    <w:p w:rsidR="001267A7" w:rsidRDefault="001267A7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</w:t>
      </w:r>
      <w:r w:rsidR="00C85D3A" w:rsidRPr="001C75F5">
        <w:rPr>
          <w:rFonts w:ascii="Arial" w:hAnsi="Arial" w:cs="Arial"/>
          <w:b/>
          <w:bCs/>
          <w:i/>
          <w:iCs/>
          <w:color w:val="000000"/>
        </w:rPr>
        <w:t>9</w:t>
      </w:r>
      <w:r w:rsidRPr="001C75F5">
        <w:rPr>
          <w:rFonts w:ascii="Arial" w:hAnsi="Arial" w:cs="Arial"/>
          <w:b/>
          <w:bCs/>
          <w:i/>
          <w:iCs/>
          <w:color w:val="000000"/>
        </w:rPr>
        <w:t xml:space="preserve"> - Pubblicazione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1. L'Albo, è pubblicato sul sito della Scuola nella</w:t>
      </w:r>
      <w:r w:rsidR="00C85D3A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sezione “Albo Fornitori”.</w:t>
      </w:r>
    </w:p>
    <w:p w:rsidR="001267A7" w:rsidRDefault="001267A7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lastRenderedPageBreak/>
        <w:t>Art.1</w:t>
      </w:r>
      <w:r w:rsidR="00C85D3A" w:rsidRPr="001C75F5">
        <w:rPr>
          <w:rFonts w:ascii="Arial" w:hAnsi="Arial" w:cs="Arial"/>
          <w:b/>
          <w:bCs/>
          <w:i/>
          <w:iCs/>
          <w:color w:val="000000"/>
        </w:rPr>
        <w:t>0</w:t>
      </w:r>
      <w:r w:rsidRPr="001C75F5">
        <w:rPr>
          <w:rFonts w:ascii="Arial" w:hAnsi="Arial" w:cs="Arial"/>
          <w:b/>
          <w:bCs/>
          <w:i/>
          <w:iCs/>
          <w:color w:val="000000"/>
        </w:rPr>
        <w:t xml:space="preserve"> - Utilizzazione dell'Albo</w:t>
      </w:r>
    </w:p>
    <w:p w:rsidR="00497C6A" w:rsidRPr="001C75F5" w:rsidRDefault="00497C6A" w:rsidP="00835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1. L'albo viene utilizzato in conformità a quanto disposto dai precedenti artt. e con le modalità</w:t>
      </w:r>
      <w:r w:rsidR="0083508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operative di cui ai seguenti commi.</w:t>
      </w:r>
    </w:p>
    <w:p w:rsidR="00497C6A" w:rsidRPr="001C75F5" w:rsidRDefault="00497C6A" w:rsidP="00835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2. Con riferimento a ciascuna categoria l’Istituto provvederà alla consultazione di almeno tre o</w:t>
      </w:r>
      <w:r w:rsidR="0083508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cinque operatori economici, a seconda dell’importo di gara, nel rispetto dei principi di non</w:t>
      </w:r>
      <w:r w:rsidR="0083508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discriminazione, parità di trattamento, proporzionalità e trasparenza. Gli operatori da invitare a gara</w:t>
      </w:r>
      <w:r w:rsidR="0083508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saranno individuati tramite sorteggio pubblico.</w:t>
      </w:r>
    </w:p>
    <w:p w:rsidR="00497C6A" w:rsidRPr="001C75F5" w:rsidRDefault="00497C6A" w:rsidP="00835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3. L’Istituto non ha l’obbligo di invitare tutte le imprese iscritte all’elenco, né deve fornire</w:t>
      </w:r>
      <w:r w:rsidR="0083508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adeguata motivazione del mancato invito.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1</w:t>
      </w:r>
      <w:r w:rsidR="00835082" w:rsidRPr="001C75F5">
        <w:rPr>
          <w:rFonts w:ascii="Arial" w:hAnsi="Arial" w:cs="Arial"/>
          <w:b/>
          <w:bCs/>
          <w:i/>
          <w:iCs/>
          <w:color w:val="000000"/>
        </w:rPr>
        <w:t>1</w:t>
      </w:r>
      <w:r w:rsidRPr="001C75F5">
        <w:rPr>
          <w:rFonts w:ascii="Arial" w:hAnsi="Arial" w:cs="Arial"/>
          <w:b/>
          <w:bCs/>
          <w:i/>
          <w:iCs/>
          <w:color w:val="000000"/>
        </w:rPr>
        <w:t xml:space="preserve"> - Sospensione</w:t>
      </w:r>
    </w:p>
    <w:p w:rsidR="00497C6A" w:rsidRPr="001C75F5" w:rsidRDefault="00497C6A" w:rsidP="00835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 xml:space="preserve">1. L'Efficacia dell'iscrizione all'Albo può essere sospesa </w:t>
      </w:r>
      <w:r w:rsidR="00835082" w:rsidRPr="001C75F5">
        <w:rPr>
          <w:rFonts w:ascii="Arial" w:hAnsi="Arial" w:cs="Arial"/>
          <w:color w:val="000000"/>
        </w:rPr>
        <w:t xml:space="preserve">dal Dirigente scolastico </w:t>
      </w:r>
      <w:r w:rsidRPr="001C75F5">
        <w:rPr>
          <w:rFonts w:ascii="Arial" w:hAnsi="Arial" w:cs="Arial"/>
          <w:color w:val="000000"/>
        </w:rPr>
        <w:t xml:space="preserve"> con proprio atto qualora a carico</w:t>
      </w:r>
      <w:r w:rsidR="00835082" w:rsidRPr="001C75F5">
        <w:rPr>
          <w:rFonts w:ascii="Arial" w:hAnsi="Arial" w:cs="Arial"/>
          <w:color w:val="000000"/>
        </w:rPr>
        <w:t xml:space="preserve">  </w:t>
      </w:r>
      <w:r w:rsidRPr="001C75F5">
        <w:rPr>
          <w:rFonts w:ascii="Arial" w:hAnsi="Arial" w:cs="Arial"/>
          <w:color w:val="000000"/>
        </w:rPr>
        <w:t>della Ditta si verifichi uno dei seguenti casi:</w:t>
      </w:r>
    </w:p>
    <w:p w:rsidR="00497C6A" w:rsidRPr="001C75F5" w:rsidRDefault="00497C6A" w:rsidP="00835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a) sia in corso una procedura di concordato preventivo o di fallimento;</w:t>
      </w:r>
    </w:p>
    <w:p w:rsidR="00497C6A" w:rsidRPr="001C75F5" w:rsidRDefault="00497C6A" w:rsidP="00835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b) siano in corso procedimenti penali relativi ai casi contemplati nel successivo art. 11 a carico del</w:t>
      </w:r>
      <w:r w:rsidR="0083508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titolare, se trattasi di ditta individuale; a carico di uno o più amministratori muniti di poteri di</w:t>
      </w:r>
      <w:r w:rsidR="0083508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rappresentanza, in ogni altro tipo di società;</w:t>
      </w:r>
    </w:p>
    <w:p w:rsidR="00497C6A" w:rsidRPr="001C75F5" w:rsidRDefault="00497C6A" w:rsidP="00835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c) la ditta abbia dimostrato negligenza nella esecuzione delle forniture;</w:t>
      </w:r>
    </w:p>
    <w:p w:rsidR="00497C6A" w:rsidRPr="001C75F5" w:rsidRDefault="00497C6A" w:rsidP="008350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d) la ditta abbia commesso violazioni di particolare rilevanza alle leggi o ad ogni altro obbligo</w:t>
      </w:r>
      <w:r w:rsidR="00835082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derivante dai rapporti di lavoro.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1</w:t>
      </w:r>
      <w:r w:rsidR="001D27E2" w:rsidRPr="001C75F5">
        <w:rPr>
          <w:rFonts w:ascii="Arial" w:hAnsi="Arial" w:cs="Arial"/>
          <w:b/>
          <w:bCs/>
          <w:i/>
          <w:iCs/>
          <w:color w:val="000000"/>
        </w:rPr>
        <w:t>2</w:t>
      </w:r>
      <w:r w:rsidRPr="001C75F5">
        <w:rPr>
          <w:rFonts w:ascii="Arial" w:hAnsi="Arial" w:cs="Arial"/>
          <w:b/>
          <w:bCs/>
          <w:i/>
          <w:iCs/>
          <w:color w:val="000000"/>
        </w:rPr>
        <w:t xml:space="preserve"> - Cancellazione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 xml:space="preserve">1. Sono cancellate dall'Albo con provvedimento </w:t>
      </w:r>
      <w:r w:rsidR="001D27E2" w:rsidRPr="001C75F5">
        <w:rPr>
          <w:rFonts w:ascii="Arial" w:hAnsi="Arial" w:cs="Arial"/>
          <w:color w:val="000000"/>
        </w:rPr>
        <w:t xml:space="preserve">del Dirigente scolastico </w:t>
      </w:r>
      <w:r w:rsidRPr="001C75F5">
        <w:rPr>
          <w:rFonts w:ascii="Arial" w:hAnsi="Arial" w:cs="Arial"/>
          <w:color w:val="000000"/>
        </w:rPr>
        <w:t xml:space="preserve"> le Ditte per le quali si verifichi uno dei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seguenti casi: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a) irregolarità e/o gravi negligenze accertate o malafede nell'esecuzione di forniture o di servizi;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b) condanna per delitto che per sua natura o per la sua gravità faccia ritenere che siano venuti meno i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requisiti di natura morale necessari per l'iscrizione della ditta all'Albo;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c) fallimento, liquidazione o cessazione di attività;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d) omessa o falsa dichiarazione in merito alla sussistenza ovvero perdita anche di uno solo dei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requisiti richiesti dall’art. 6 del presente regolamento;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e) risoluzione per inadempimento di un contratto affidato;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f) qualora dalla certificazione prefettizia risultino essere sopravvenuti procedimenti per l'applicazione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di una delle misure di prevenzione di cui alle disposizioni in materia di lotta alla delinquenza mafiosa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o comunque organizzata a carico del titolare della ditta o dei suoi familiari e/o conviventi, se trattasi di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ditta individuale; a carico di uno o più soci se trattasi di società di persona; a carico di uno o più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amministratori muniti di poteri di rappresentanza, se trattasi di ogni altro tipo di società;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g) mancata risposta, anche per una solo volta, all'interpello della scuola in ordine a richieste di offerta,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intendendo per mancata risposta il silenzio all’invito scritto. La ditta potrà indicare i motivi per i quali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è impossibilitata a presentare l'offerta ma saranno considerati utili per una sola volta ai fini della</w:t>
      </w:r>
      <w:r w:rsidR="0020625D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conservazione dell'iscrizione della Ditta all'Albo;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h) richiesta di cancellazione dall'Albo avanzata dalla ditta iscritta.</w:t>
      </w:r>
    </w:p>
    <w:p w:rsidR="00497C6A" w:rsidRPr="001C75F5" w:rsidRDefault="00497C6A" w:rsidP="002062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2. Il cambiamento della ragione sociale non è motivo di cancellazione.</w:t>
      </w:r>
    </w:p>
    <w:p w:rsidR="00497C6A" w:rsidRPr="001C75F5" w:rsidRDefault="00497C6A" w:rsidP="00497C6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1</w:t>
      </w:r>
      <w:r w:rsidR="0020625D" w:rsidRPr="001C75F5">
        <w:rPr>
          <w:rFonts w:ascii="Arial" w:hAnsi="Arial" w:cs="Arial"/>
          <w:b/>
          <w:bCs/>
          <w:i/>
          <w:iCs/>
          <w:color w:val="000000"/>
        </w:rPr>
        <w:t>3</w:t>
      </w:r>
      <w:r w:rsidRPr="001C75F5">
        <w:rPr>
          <w:rFonts w:ascii="Arial" w:hAnsi="Arial" w:cs="Arial"/>
          <w:b/>
          <w:bCs/>
          <w:i/>
          <w:iCs/>
          <w:color w:val="000000"/>
        </w:rPr>
        <w:t xml:space="preserve"> - Obblighi per le Ditte</w:t>
      </w:r>
    </w:p>
    <w:p w:rsidR="00497C6A" w:rsidRPr="001C75F5" w:rsidRDefault="00497C6A" w:rsidP="009214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Le ditte iscritte all'Albo sono tenute a comunicare tempestivamente le variazioni dei loro requisiti,</w:t>
      </w:r>
      <w:r w:rsidR="0092145F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organizzazione e struttura, che siano influenti ai fini della presente regolamentazione.</w:t>
      </w:r>
    </w:p>
    <w:p w:rsidR="00497C6A" w:rsidRPr="001C75F5" w:rsidRDefault="00497C6A" w:rsidP="009214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 xml:space="preserve">Art. </w:t>
      </w:r>
      <w:r w:rsidR="0092145F" w:rsidRPr="001C75F5">
        <w:rPr>
          <w:rFonts w:ascii="Arial" w:hAnsi="Arial" w:cs="Arial"/>
          <w:b/>
          <w:bCs/>
          <w:i/>
          <w:iCs/>
          <w:color w:val="000000"/>
        </w:rPr>
        <w:t>14</w:t>
      </w:r>
      <w:r w:rsidRPr="001C75F5">
        <w:rPr>
          <w:rFonts w:ascii="Arial" w:hAnsi="Arial" w:cs="Arial"/>
          <w:b/>
          <w:bCs/>
          <w:i/>
          <w:iCs/>
          <w:color w:val="000000"/>
        </w:rPr>
        <w:t xml:space="preserve"> - Mercato elettronico</w:t>
      </w:r>
    </w:p>
    <w:p w:rsidR="00497C6A" w:rsidRPr="001C75F5" w:rsidRDefault="00497C6A" w:rsidP="009214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L'Istituto si riserva la facoltà di procedere all'acquisizione di beni e/o servizi in economia mediante</w:t>
      </w:r>
      <w:r w:rsidR="0092145F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 xml:space="preserve">l'utilizzo del mercato elettronico gestito da </w:t>
      </w:r>
      <w:proofErr w:type="spellStart"/>
      <w:r w:rsidRPr="001C75F5">
        <w:rPr>
          <w:rFonts w:ascii="Arial" w:hAnsi="Arial" w:cs="Arial"/>
          <w:color w:val="000000"/>
        </w:rPr>
        <w:t>Consip</w:t>
      </w:r>
      <w:proofErr w:type="spellEnd"/>
      <w:r w:rsidRPr="001C75F5">
        <w:rPr>
          <w:rFonts w:ascii="Arial" w:hAnsi="Arial" w:cs="Arial"/>
          <w:color w:val="000000"/>
        </w:rPr>
        <w:t xml:space="preserve"> S.p.A. ovvero da altri enti pubblici, nel rispetto</w:t>
      </w:r>
      <w:r w:rsidR="0092145F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della vigente normativa.</w:t>
      </w:r>
    </w:p>
    <w:p w:rsidR="00497C6A" w:rsidRPr="001C75F5" w:rsidRDefault="00497C6A" w:rsidP="009214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1C75F5">
        <w:rPr>
          <w:rFonts w:ascii="Arial" w:hAnsi="Arial" w:cs="Arial"/>
          <w:b/>
          <w:bCs/>
          <w:i/>
          <w:iCs/>
          <w:color w:val="000000"/>
        </w:rPr>
        <w:t>Art. 21 - Pubblicità</w:t>
      </w:r>
    </w:p>
    <w:p w:rsidR="00497C6A" w:rsidRPr="001C75F5" w:rsidRDefault="00497C6A" w:rsidP="00804E8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C75F5">
        <w:rPr>
          <w:rFonts w:ascii="Arial" w:hAnsi="Arial" w:cs="Arial"/>
          <w:color w:val="000000"/>
        </w:rPr>
        <w:t>La presente regolamentazione dell'Albo viene resa pubblica attraverso l'affissione permanente all'Albo</w:t>
      </w:r>
      <w:r w:rsidR="0092145F" w:rsidRPr="001C75F5">
        <w:rPr>
          <w:rFonts w:ascii="Arial" w:hAnsi="Arial" w:cs="Arial"/>
          <w:color w:val="000000"/>
        </w:rPr>
        <w:t xml:space="preserve"> </w:t>
      </w:r>
      <w:r w:rsidRPr="001C75F5">
        <w:rPr>
          <w:rFonts w:ascii="Arial" w:hAnsi="Arial" w:cs="Arial"/>
          <w:color w:val="000000"/>
        </w:rPr>
        <w:t>e la sua pubblicizzazione sul sito web della scuola.</w:t>
      </w:r>
    </w:p>
    <w:p w:rsidR="00804E80" w:rsidRPr="001C75F5" w:rsidRDefault="00497C6A" w:rsidP="00804E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5F5">
        <w:rPr>
          <w:rFonts w:ascii="Arial" w:hAnsi="Arial" w:cs="Arial"/>
          <w:color w:val="000000"/>
        </w:rPr>
        <w:t>Il presente regolamento</w:t>
      </w:r>
      <w:r w:rsidR="00804E80" w:rsidRPr="001C75F5">
        <w:rPr>
          <w:rFonts w:ascii="Arial" w:hAnsi="Arial" w:cs="Arial"/>
          <w:color w:val="000000"/>
        </w:rPr>
        <w:t xml:space="preserve"> </w:t>
      </w:r>
      <w:r w:rsidR="00804E80" w:rsidRPr="001C75F5">
        <w:rPr>
          <w:rFonts w:ascii="Arial" w:hAnsi="Arial" w:cs="Arial"/>
        </w:rPr>
        <w:t>è stato approvato dal Consiglio di Istituto nella seduta del 12 giugno 2014.</w:t>
      </w:r>
    </w:p>
    <w:sectPr w:rsidR="00804E80" w:rsidRPr="001C75F5" w:rsidSect="00285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497C6A"/>
    <w:rsid w:val="000773B9"/>
    <w:rsid w:val="000C3BA0"/>
    <w:rsid w:val="001267A7"/>
    <w:rsid w:val="001C75F5"/>
    <w:rsid w:val="001D27E2"/>
    <w:rsid w:val="0020625D"/>
    <w:rsid w:val="00244598"/>
    <w:rsid w:val="00261801"/>
    <w:rsid w:val="0028522E"/>
    <w:rsid w:val="00497C6A"/>
    <w:rsid w:val="00520C7C"/>
    <w:rsid w:val="00531EA1"/>
    <w:rsid w:val="00643633"/>
    <w:rsid w:val="00703942"/>
    <w:rsid w:val="00804E80"/>
    <w:rsid w:val="00835082"/>
    <w:rsid w:val="0092145F"/>
    <w:rsid w:val="00AC7FFB"/>
    <w:rsid w:val="00B744C9"/>
    <w:rsid w:val="00C65214"/>
    <w:rsid w:val="00C85D3A"/>
    <w:rsid w:val="00CF68B6"/>
    <w:rsid w:val="00D76E06"/>
    <w:rsid w:val="00E15444"/>
    <w:rsid w:val="00FA497A"/>
    <w:rsid w:val="00FC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7C6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2390</Words>
  <Characters>13626</Characters>
  <Application>Microsoft Office Word</Application>
  <DocSecurity>0</DocSecurity>
  <Lines>113</Lines>
  <Paragraphs>31</Paragraphs>
  <ScaleCrop>false</ScaleCrop>
  <Company>scuola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Asus</cp:lastModifiedBy>
  <cp:revision>20</cp:revision>
  <dcterms:created xsi:type="dcterms:W3CDTF">2014-06-12T14:20:00Z</dcterms:created>
  <dcterms:modified xsi:type="dcterms:W3CDTF">2014-11-12T13:30:00Z</dcterms:modified>
</cp:coreProperties>
</file>